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123 vom 28. Mai 1993</w:t>
      </w:r>
    </w:p>
    <w:p>
      <w:r>
        <w:t>Bundesgericht (BGE), 1993-05-28, DE</w:t>
      </w:r>
    </w:p>
    <w:p>
      <w:r>
        <w:rPr>
          <w:b/>
        </w:rPr>
        <w:t xml:space="preserve">Quelle: </w:t>
      </w:r>
      <w:r>
        <w:t>https://mcp.opencaselaw.ch/entscheid/bge_119 IA 123</w:t>
      </w:r>
    </w:p>
    <w:p>
      <w:r>
        <w:t>FR: BGE 119 IA 123 du 28 mai 1993</w:t>
      </w:r>
    </w:p>
    <w:p>
      <w:r>
        <w:t>IT: BGE 119 IA 123 del 28 maggio 1993</w:t>
      </w:r>
    </w:p>
    <w:p>
      <w:pPr>
        <w:pStyle w:val="Heading2"/>
      </w:pPr>
      <w:r>
        <w:t>Regeste</w:t>
      </w:r>
    </w:p>
    <w:p>
      <w:r>
        <w:t>Regeste Art. 4 BV; unterschiedliche Höhe der Jagdpatentgebühren für Bewerber mit Wohnsitz ausserhalb des Kantons. 1. Beginn des Fristenlaufs für die Einreichung der staatsrechtlichen Beschwerde gegen kantonale Erlasse, die - wenn auch nur teilweise - der Genehmigung des Bundes bedürfen (E. 1a). 2. Es ist mit Art. 4 BV vereinbar: a) den Bewerbern mit Wohnsitz ausserhalb des Kantons ein Jagdpatent jeweils nur für das gesamte Kantonsgebiet zu erteilen und die Möglichkeit der Patenterteilung nur für einen einzelnen Jagdkreis den im Kanton wohnhaften Bewerbern vorzubehalten (E. 2); b) höhere Patentgebühren von ausserhalb des Kantons in der Schweiz wohnhaften Bewerbern und von im Ausland wohnhaften Bewerbern zu verlangen (E. 3b); c) von auswärtigen Bewerbern das Dreifache (Personen mit Wohnsitz ausserhalb des Kantons in der Schweiz) bzw. das Vierfache (Personen mit Wohnsitz im Ausland) der einfachen Patentgebühr zu verlangen (E. 3c); d) von den auswärtigen Bewerbern höhere Beiträge (Zuschläge zur Patentgebühr) an den kantonalen Wildschadenfonds sowie für Hegemassnahmen zu verlangen als von im Kanton wohnhaften Bewerbern (E. 4).</w:t>
      </w:r>
    </w:p>
    <w:p>
      <w:pPr>
        <w:pStyle w:val="Heading2"/>
      </w:pPr>
      <w:r>
        <w:t>Erwägungen</w:t>
      </w:r>
    </w:p>
    <w:p>
      <w:r>
        <w:rPr>
          <w:b/>
        </w:rPr>
        <w:t>E. 1</w:t>
      </w:r>
    </w:p>
    <w:p>
      <w:r>
        <w:t>a) Gemäss Art. 89 Abs. 1 OG beginnt die dreissigtägige Frist zur Einreichung einer staatsrechtlichen Beschwerde mit der nach dem kantonalen Recht massgeblichen Eröffnung oder Mitteilung des angefochtenen Hoheitsaktes zu laufen. Bei Erlassen, welche dem fakultativen Referendum unterstehen, beginnt die dreissigtägige Beschwerdefrist, wenn das Referendum nicht ergriffen wird, mit der amtlichen Bekanntmachung, dass der (bereits publizierte) Erlass infolge unbenützten Ablaufs der Referendumsfrist zustande gekommen sei bzw. auf einen bestimmten Termin in Kraft trete (so für den Kanton Bern BGE 103 Ia 194 E. 1; vgl. auch BGE 114 Ia 222 E. 1; BGE 110 Ia 12 E. 1c; BGE 108 Ia 129 E. 1a, 142 E. 1 sowie WALTER KÄLIN, Das Verfahren der staatsrechtlichen Beschwerde, Bern 1984, S. 297 f.). Der Zeitpunkt, an dem der angefochtene Erlass in Kraft tritt, ist für die Fristberechnung ohne Bedeutung ( BGE 103 Ia 194 E. 1; WALTER KÄLIN, a.a.O., S. 297). Im vorliegenden Falle wurde im kantonalen Amtsblatt vom 7. September 1991 zunächst die Feststellung des unbenützten Ablaufes der Referendumsfrist veröffentlicht. Da jedoch die Änderung des Gesetzes in bezug auf gewisse Bestimmungen - wenn auch nicht BGE 119 Ia 123 S. 127 die hier angefochtenen - zusätzlich der (konstitutiven) Genehmigung des Bundes bedurfte (vgl. Art. 25 Abs. 2 des eidgenössischen Jagdgesetzes sowie Art. 7a des Bundesgesetzes vom 19. September 1978 über die Organisation und die Geschäftsführung des Bundesrates und der Bundesverwaltung [SR 172.010] ), erfolgte im kantonalen Amtsblatt vom 11. April 1992 noch eine weitere Publikation, worin das Vorliegen der bundesrechtlichen Genehmigung und der vom Regierungsrat nunmehr festgelegte Inkraftsetzungstermin bekanntgegeben wurden. Erst mit dieser zweiten Veröffentlichung stand das Zustandekommen der neuen Regelung definitiv fest. Ungeachtet dessen, dass die im vorliegenden Verfahren angefochtenen Bestimmungen des Jagdgesetzes nicht der Genehmigung des Bundes bedurften, blieb daher mit der im Anschluss an die zweite Publikation erhobenen staatsrechtlichen Beschwerde vom 4. Mai 1992 die Anfechtungsfrist gewahrt (vgl. BGE 103 Ia 580 E. 2b sowie WALTER KÄLIN, a.a.O., S. 298). b) Als ausserhalb des Kantons Bern (bzw. im Ausland) wohnhafter Jäger, der bisher in diesem Kanton gejagt hat und dies auch in Zukunft tun möchte, ist Paul Kuhn durch die angefochtenen Gesetzesbestimmungen rechtlich berührt und daher nach Art. 88 OG zur staatsrechtlichen Beschwerde legitimiert ( BGE 102 Ia 206 E. 3). Entsprechendes gilt für den ebenfalls als Beschwerdeführer auftretenden Verein Interessengemeinschaft ausserkantonaler Berner Patentjäger, der als juristische Person konstituiert ist, nach seinen Statuten die Wahrung solcher Interessen bezweckt, wie sie hier in Frage stehen, und dessen Mitglieder durch die angefochtene Regelung direkt oder virtuell betroffen sind ( BGE 114 Ia 456 E. 1d, bb; BGE 112 Ia 182 E. 1b).</w:t>
      </w:r>
    </w:p>
    <w:p>
      <w:r>
        <w:rPr>
          <w:b/>
        </w:rPr>
        <w:t>E. 2</w:t>
      </w:r>
    </w:p>
    <w:p>
      <w:r>
        <w:t>a) Die Beschwerdeführer beanstanden zunächst die Vorschrift von Art. 19 Abs. 4 GJV nF, wonach Bewerber ohne Wohnsitz im Kanton Bern die Patente I, II und III jeweils nur für alle vier Jagdkreise zusammen, d.h. für das gesamte Kantonsgebiet, erlangen können. Diese Ungleichbehandlung gegenüber den im Kanton Bern wohnhaften Jägern, welche die betreffenden Patente gegen eine ermässigte Gebühr auch lediglich für den Jagdkreis ihres Wohnsitzes erwerben könnten, entbehre jeder vernünftigen sachlichen Begründung und verletze daher das Gebot der Rechtsgleichheit. Auch zahlreiche auswärtige Jäger seien daran interessiert, nur in jenem Jagdkreis zu jagen, der ihrem Wohnort am nächsten liege. Dadurch, dass Jäger mit Wohnsitz ausserhalb des Kantons zum Erwerb des Patentes für alle Jagdkreise gezwungen würden, lasse sich keine gleichmässigere BGE 119 Ia 123 S. 128 Verteilung der auswärtigen Jäger auf die einzelnen Jagdkreise erreichen.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 BGE 118 Ia 2 f. E. 3a; 117 Ia 101 E. 3a, je mit Hinweisen). Als Träger des Jagdregals kann der Kanton über das Recht zur Ausübung der Jagd grundsätzlich frei verfügen und diese Verfügungsmacht auch fiskalisch nutzen; er legt das Jagdsystem fest und bestimmt die Voraussetzungen für die Jagdberechtigung (Art. 3 Abs. 2 des eidg. Jagdgesetzes). Entscheidet er sich für das System der Patentjagd, so ist er bei der Umschreibung der Patentberechtigung und der damit verbundenen Abgaben nicht an jene Schranken gebunden, die für Polizeibewilligungen gelten. Der Kanton darf, ausgehend von der Überlegung, dass die Nutzung des in seinem Gebiet vorhandenen Wildbestandes in erster Linie den Angehörigen und Steuerzahlern dieses Gemeinwesens vorbehalten sein soll, von nicht im Kanton wohnhaften Bewerbern eine höhere Taxe verlangen als von Kantonseinwohnern oder auswärts Wohnende vom Bezug des Patentes überhaupt ausschliessen ( BGE 114 Ia 13 E. 3b; BGE 101 Ia 196 E. 4 ; 95 I 501 f. E. 3; BGE 41 I 156 f.; Bundesgerichtsurteil vom 19. Dezember 1973, in ZBl 75/1974, S. 306 f. E. 2; SANDRO VISINI, Die rechtliche Gleichbehandlung von Bürgern und Einwohnern anderer Gebietskörperschaften mit den eigenen Bürgern und Einwohnern, Diss. Zürich 1983, S. 99, 102, 105; ARTHUR HAEFLIGER, Alle Schweizer sind vor dem Gesetze gleich, Bern 1985, S. 66). c) Aufgrund dieser für die Nutzung von Regalrechten geltenden besonderen Ausgangslage lässt sich die von den Beschwerdeführern angefochtene Regelung von Art. 19 Abs. 4 GJV nF verfassungsrechtlich nicht beanstanden. Wie der Regierungsrat in seiner Vernehmlassung ausführt, soll die in Art. 19 GJV nF für Kantonseinwohner vorgesehene Möglichkeit, ein Jagdpatent gegen eine reduzierte Gebühr bloss für den Jagdkreis ihres Wohnsitzes zu erwerben, den traditionellen Verhältnissen eines Grossteils der einheimischen Jäger Rechnung tragen, welche lediglich in der näheren Umgebung ihres Wohnortes zu jagen pflegen. Ausserhalb des Kantons wohnende Jäger befinden sich in einer andern Lage; sie üben die Jagd so oder so nicht in der unmittelbaren Umgebung ihres Wohnsitzes, sondern in anderweitig gelegenen Gebieten aus; sie wären, würde ihnen BGE 119 Ia 123 S. 129 die Auswahl eines beliebigen einzelnen Jagdkreises erlaubt, gegenüber den einheimischen Jägern, für welche diese Möglichkeit bloss für den Jagdkreis ihres Wohnsitzes besteht, sogar privilegiert. Was die Beschwerdeführer in diesem Zusammenhang im einzelnen vorbringen, vermag die verfassungsrechtliche Zulässigkeit der streitigen Regelung in keiner Weise in Frage zu stellen. d) Im übrigen wäre mit der blossen Streichung von Art. 19 Abs. 4 GJV nF, wie sie von den Beschwerdeführern beantragt wird, die von ihnen angestrebte Änderung des Rechtszustandes noch nicht hergestellt, da sich die beanstandete Differenzierung bereits aus Art. 19 Abs. 1 GJV nF ergibt, welcher die Möglichkeit reduzierter Patente für einzelne Jagdkreise bloss für "Personen mit Wohnsitz im Kanton Bern" vorsieht. Doch ist dies nach dem Gesagten ohne Belang.</w:t>
      </w:r>
    </w:p>
    <w:p>
      <w:r>
        <w:rPr>
          <w:b/>
        </w:rPr>
        <w:t>E. 3</w:t>
      </w:r>
    </w:p>
    <w:p>
      <w:r>
        <w:t>a) Die Beschwerdeführer verlangen sodann die Streichung von Art. 20 GJV nF mit der Begründung, es sei rechtsungleich und willkürlich, Personen mit Wohnsitz in einem andern Kanton bzw. im Ausland mit der dreifachen bzw. vierfachen Patentgebühr zu belasten. Für ein derart unterschiedliches Gebührenmass gebe es keine vernünftige Begründung. Diese Gebührenerhöhung führe nur dazu, dass ausser den Einwohnern des Kantons Bern bloss noch finanzstarke auswärtige Personen der Jagd nachgehen könnten. Besonders stossend sei diese neue Regelung für gebürtige Berner, die aus beruflichen Gründen, z.B. infolge der Tätigkeit als Instruktionsoffizier, nicht mehr im Kanton Bern wohnen könnten, aber durch Familie, Militär, Grundbesitz und Heimatgefühl mit diesem Kanton eng verbunden seien. Diese Regelung diene auch nicht der Verhinderung einer Jagdübernutzung, weil die genauen Abschusszahlen pro Jäger vom Kanton ohnehin vorgegeben würden. Da der Anteil der auswärtigen Jäger weniger als 5% bzw. zur Zeit nur 3% der gesamten Jägerschaft ausmache, dränge sich eine Gebührenerhöhung für diese Gruppe nicht auf. Zudem sei bekannt, dass während der Jagdperiode ohnehin vielfach zu wenig Tiere geschossen würden, so dass jeweils eine Nachjagd unter Aufsicht der Wildhüter durchgeführt werden müsse. Falls sich eine Beschränkung der Jagdtätigkeit zum Schutze des Wildes ernsthaft aufdränge, könne dies - unter Wahrung des Gleichbehandlungsgebotes - durch eine absolute Begrenzung der Zahl der Jagdberechtigten, z.B. durch Losziehung, oder durch eine Beschränkung der Abschusszahlen geschehen. Eine zusätzliche Verfassungswidrigkeit liege in der in Art. 20 GJV nF getroffenen Unterscheidung zwischen Jägern mit Wohnsitz in einem andern Kanton und solchen mit Wohnsitz im Ausland, welche ohne BGE 119 Ia 123 S. 130 jede sachliche Rechtfertigung noch stärker belastet würden und mehr als das Fünffache dessen zu bezahlen hätten, was ein Kantonseinwohner für die Jagd im Jagdkreis seines Wohnsitzes zu entrichten habe. b) Auch diese Einwendungen dringen nicht durch. Da die Ausübung der Jagd, wie bereits ausgeführt, vorzugsweise den Kantonseinwohnern vorbehalten werden darf, ist es zulässig, von ausserhalb des Kantons wohnenden Bewerbern höhere Patentgebühren zu verlangen; hierin liegt nach dem Gesagten keine Verletzung des Gleichbehandlungsgebotes ( BGE 101 Ia 196 E. 4; BGE 95 I 501 f. E. 3; Urteil vom 19. Dezember 1973, in ZBl 75/1974, S. 307 E. 2; SANDRO VISINI, a.a.O., S. 102; ARTHUR HAEFLIGER, a.a.O., S. 66). Eine solche Mehrbelastung auswärts wohnender Bewerber ist selbst dann zulässig, wenn diese das Heimatbürgerrecht des betreffenden Kantons besitzen ( BGE 114 Ia 13 E. 3b). Massgebender Anknüpfungspunkt kann im vorliegenden Zusammenhang nur der Wohnsitz bzw. die Niederlassung sein. Unstatthaft erscheint daher eine Differenzierung zwischen Kantonseinwohnern mit Schweizer Bürgerrecht und im Kanton niedergelassenen Ausländern ( BGE 114 Ia 13 f. E. 3b), wie sie das hier angefochtene Gesetz in seiner bisherigen Fassung vorsah (vgl. Art. 18 und 20 GJV alte Fassung). Die in Art. 20 GJV nF bezüglich der Gebührenbemessung getroffene Unterscheidung zwischen auswärtigen Bewerbern mit Wohnsitz in der Schweiz (d.h. in einem andern Kanton) und solchen mit Wohnsitz im Ausland lässt sich dagegen unter dem Gesichtswinkel von Art. 4 BV nicht beanstanden. Wer in der Schweiz wohnt und unter anderem als Steuerzahler die Lasten des Bundesstaates mitzutragen hilft, steht in einem anderen Verhältnis zum Kanton Bern als derjenige, der seinen Wohnsitz in einem ausländischen Staat hat; es ist daher vertretbar, diese letztere Gruppe gegenüber Bewerbern mit Wohnsitz in einem andern Kanton noch stärker zu belasten. c) Was das Mass der Abgaben anbelangt, ist vorab festzuhalten, dass Regalgebühren der Natur der Sache entsprechend nicht dem Kostendeckungsprinzip unterstehen; solche Abgaben dürfen auch auf die Erzielung eines Gewinnes ausgerichtet sein (RHINOW/KRÄHENMANN, Schweizerische Verwaltungsrechtsprechung, Ergänzungsband, Basel 1990, Nr. 110 B/IV und IX, S. 339 und 341; BGE 95 I 502 E. 3). Auch das Äquivalenzprinzip kommt gegenüber derartigen Abgaben höchstens bedingt zum Zuge. Zwar wurde in BGE 109 Ib 313 E. 5 dessen Geltung auch für Regalgebühren bejaht (vgl. auch RHINOW/KRÄHENMANN, a.a.O., Nr. 110 B/IX), doch handelte es BGE 119 Ia 123 S. 131 sich in jenem Fall um Konzessionsgebühren für den Radioempfang, d.h. für eine Leistung, die von ihrem Zweck her jedermann zugänglich sein muss, während die hier fraglichen Regalgebühren einen ganz andern Charakter haben und auch fiskalischen Zielen dienen dürfen. Dass die vom Kanton Bern neu festgesetzten Jagdpatentgebühren für ausserkantonale Bewerber wegen ihrer Höhe prohibitiv wirken können, stellt ihre Verfassungsmässigkeit noch nicht in Frage; dies entspricht einem zulässigen Zweck dieser Regelung. In BGE 95 I 502 E. 3 hat das Bundesgericht bezüglich der Gebühren für Fischereibewilligungen allerdings ausgeführt, der Grundsatz der Rechtsgleichheit verlange, dass auch die höhere Abgabe für auswärtige Bewerber in einem gewissen Rahmen bleibe; die Gebühr dürfe nicht derart hoch festgesetzt werden, dass neben den Einwohnern des betreffenden Kantons nur noch finanzstarke ausserkantonale Interessenten den Fischereisport ausüben könnten; wo diese Grenze zu ziehen wäre, liess das Gericht offen. Die Frage kann auch im vorliegenden Fall dahingestellt bleiben. Wer als auswärts wohnhafter Bewerber im Kanton Bern die Jagd ausüben will, muss dafür nach der angefochtenen neuen Regelung, je nach Art des gewählten Patentes, dem Ort des Wohnsitzes (Schweiz oder Ausland) sowie der Höhe der Zuschläge nach Art. 22 GJV nF, zwischen etwa Fr. 2'000.-- bis Fr. 7'000.-- aufwenden. Solche Beträge halten sich jedoch, wie der Regierungsrat zu Recht ausführt, im Rahmen dessen, was viele Jäger auch anderswo für die Ausübung ihres Sportes auszugeben bereit sind. Von einer völlig übersetzten, selbst bei Berücksichtigung des Sondercharakters dieser Regalgebühr geradezu unhaltbaren Abgabenbemessung kann hier nicht die Rede sein. Ob ohne die angefochtene Gebührenerhöhung für auswärtige Jäger eine Übernutzung des bernischen Wildbestandes drohen würde und wie weit dieser Gefahr auch mit andern Mitteln begegnet werden könnte, ist für die verfassungsrechtliche Beurteilung ohne Belang. d) Die Rüge der Verletzung von Art. 31 BV (Handels- und Gewerbefreiheit) ist von vornherein unbehelflich, da Art. 31 Abs. 2 BV die kantonalen Regalrechte, wozu auch die Verfügung über die Jagdberechtigung gehört, ausdrücklich vorbehält (vgl. RENÉ RHINOW, BV-Kommentar, N 229 f. zu Art. 31 BV ). Im übrigen wurde die Rüge nicht innert der Beschwerdefrist, sondern erst nachträglich in der Beschwerdeergänzung erhoben, so dass auf sie ohnehin nicht eingetreten werden könnte, zumal nicht erst die Stellungnahme der kantonalen Behörde zur Erhebung dieses Einwandes Anlass gegeben hat ( BGE 102 Ia 213 E. 1). BGE 119 Ia 123 S. 132</w:t>
      </w:r>
    </w:p>
    <w:p>
      <w:r>
        <w:rPr>
          <w:b/>
        </w:rPr>
        <w:t>E. 4</w:t>
      </w:r>
    </w:p>
    <w:p>
      <w:r>
        <w:t>a) Die Beschwerdeführer beanstanden schliesslich die in Art. 22 GJV nF enthaltene Regelung über die Zuschläge für Wildschäden und Hege, welche ebenfalls für Personen mit Wohnsitz in einem andern Kanton bzw. im Ausland höhere Ansätze vorsieht. Hier gehe es nicht mehr um fiskalische Regalgebühren, bei welchen derartige Unterscheidungen allenfalls noch zulässig sein könnten, sondern um "Kausalgebühren" oder um "Zwecksteuern", welche für einheimische und auswärtige Jäger gleich bemessen sein müssten, da die Tätigkeit der letzteren keinen höheren Aufwand für Wildschäden und Hegemassnahmen verursache. b) Der Regierungsrat hält dem entgegen, es handle sich bei diesen Zuschlägen um einen zweckgebundenen Teil der Regalgebühr, für den die angestellten Erwägungen über die Zulässigkeit einer unterschiedlichen Belastung von einheimischen und auswärtigen Jägern ebenfalls Geltung hätten. Die gemachte Unterscheidung lasse sich im übrigen auch sachlich rechtfertigen: Da die Wildschadenzuschläge zur Deckung der Auslagen nicht ausreichten, werde der Wildschadenfonds auch durch Beiträge des Staates gespeist, was eine stärkere Belastung auswärts Wohnender erlaube. Auch bezüglich des Hegezuschlages sei eine Mehrbelastung auswärts wohnender Jäger gerechtfertigt, weil Hegemassnahmen - zum Teil während der Jungjägerausbildung - vor allem durch einheimische Jäger durchgeführt würden, während ausserkantonale und ausländische Jäger keine entsprechenden Verpflichtungen hätten. Was die unterschiedliche Behandlung von Jägern mit Wohnsitz in einem andern Kanton und solchen mit Wohnsitz im Ausland anbelange, sei darauf hinzuweisen, dass Art. 22 Abs. 2 und 3 GJV nF lediglich einen betragsmässigen Rahmen enthalte, der den vollziehenden Instanzen für eine verfassungsmässige Handhabung dieses Zuschlages Raum lasse. Die Forstdirektion habe in der Jagdordnung 1992 den Hegezuschlag für Einheimische auf Fr. 20.-- und für Personen mit Wohnsitz in einem andern Kanton oder im Ausland einheitlich auf Fr. 300.-- festgelegt. c) Eine Verfassungsverletzung erscheint auch in bezug auf Art. 22 GJV nF nicht dargetan. Die gleichen Überlegungen, welche für ausserhalb des Kantons wohnende Jäger die Festsetzung höherer Patentgebühren erlauben, vermögen auch eine entsprechend unterschiedliche Bemessung der für die Deckung der Wildschäden und die Finanzierung der Hegemassnahmen erhobenen Zuschläge zu rechtfertigen. Der Unterschied zu den Patentgebühren gemäss Art. 18 und 20 GJV nF besteht allein darin, dass diese in die allgemeine Staatskasse fliessen, während die Zuschläge nach Art. 22 GJV nF BGE 119 Ia 123 S. 133 der Speisung besonderer Fonds dienen, d.h. zur Spezialfinanzierung bestimmter, mit der Jagd zusammenhängender öffentlicher Aufgaben verwendet werden und die Bemessung der Zuschläge auch vom jeweiligen Finanzbedarf in diesen Aufgabenbereichen abhängt (vgl. Art. 26 ff. GJV nF). Im übrigen knüpfen die Abgaben gemäss Art. 22 GJV nF einzig an die Tatsache der Patenterteilung an und erscheinen insoweit als (zweckgebundener) Teil der Patentgebühr. Es ist daher dem Kanton aufgrund der für solche Regalgebühren geltenden Regeln nicht verwehrt, auch für die Bemessung dieser Zuschläge auf den Wohnsitz bzw. die Niederlassung abzustellen und ausserhalb des Kantons wohnende Jäger stärker zu belasten als einheimische. Die beanstandete unterschiedliche Höhe der Zuschläge lässt sich aus den vom Regierungsrat angeführten Gründen bis zu einem gewissen Grade auch rein sachlich rechtfertigen. Dass die beschwerdeführende Interessengemeinschaft ausserkantonaler Berner Patentjäger im Kanton Bern auf freiwilliger Basis selber gewisse Hegemassnahmen durchführt, nachdem der kantonal-bernische Jagd- und Wildschutzverband eine Zusammenarbeit mit ihr abgelehnt hat, ändert nichts. d) Dass es verfassungswidrig sei, die Zuschläge nach Art. 22 GJV nF für Jäger mit Wohnsitz in einem andern Kanton (Maximalbetrag Fr. 500.-- bzw. 400.--) und solche mit Wohnsitz im Ausland (Maximalbetrag Fr. 1'000.-- bzw. 800.--) unterschiedlich hoch festzusetzen, oder dass die betragsmässige Differenz zwischen diesen beiden Kategorien willkürlich hoch sei, wird von den Beschwerdeführern nicht geltend gemacht und braucht daher nicht weiter untersucht zu werden. Es sei lediglich bemerkt, dass die angefochtene Gesetzesbestimmung nur die obere Grenze dieser Zuschläge festlegt und damit den vollziehenden Behörden soviel Spielraum belässt, dass eine verfassungskonforme Handhabung dieser Regelung so oder so möglich bleibt. Die staatsrechtliche Beschwerde dringt damit auch gegenüber Art. 22 GJV nF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